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1C" w:rsidRDefault="00DC281C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Pr="008E2165" w:rsidRDefault="00C6746E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OPIS</w:t>
      </w:r>
      <w:r w:rsidR="00724D35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 PREDMETU ZÁKAZKY</w:t>
      </w:r>
    </w:p>
    <w:p w:rsidR="00724D35" w:rsidRPr="008E2165" w:rsidRDefault="00724D35" w:rsidP="00152458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A805D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CNC 5 – osé obrábacie centrum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DC281C" w:rsidRPr="008E2165" w:rsidRDefault="00DC281C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024197" w:rsidRDefault="00024197" w:rsidP="00024197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Predmetom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2F9">
        <w:rPr>
          <w:rFonts w:ascii="Times New Roman" w:hAnsi="Times New Roman" w:cs="Times New Roman"/>
          <w:bCs/>
          <w:sz w:val="24"/>
          <w:szCs w:val="24"/>
        </w:rPr>
        <w:t>zákazky</w:t>
      </w:r>
      <w:proofErr w:type="spellEnd"/>
      <w:r w:rsidR="00C622F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C622F9">
        <w:rPr>
          <w:rFonts w:ascii="Times New Roman" w:hAnsi="Times New Roman" w:cs="Times New Roman"/>
          <w:bCs/>
          <w:sz w:val="24"/>
          <w:szCs w:val="24"/>
        </w:rPr>
        <w:t>dodanie</w:t>
      </w:r>
      <w:proofErr w:type="spellEnd"/>
      <w:r w:rsidR="00C622F9">
        <w:rPr>
          <w:rFonts w:ascii="Times New Roman" w:hAnsi="Times New Roman" w:cs="Times New Roman"/>
          <w:bCs/>
          <w:sz w:val="24"/>
          <w:szCs w:val="24"/>
        </w:rPr>
        <w:t xml:space="preserve"> CNC 5 – </w:t>
      </w:r>
      <w:proofErr w:type="spellStart"/>
      <w:r w:rsidR="00C622F9">
        <w:rPr>
          <w:rFonts w:ascii="Times New Roman" w:hAnsi="Times New Roman" w:cs="Times New Roman"/>
          <w:bCs/>
          <w:sz w:val="24"/>
          <w:szCs w:val="24"/>
        </w:rPr>
        <w:t>o</w:t>
      </w:r>
      <w:r w:rsidR="00B96381">
        <w:rPr>
          <w:rFonts w:ascii="Times New Roman" w:hAnsi="Times New Roman" w:cs="Times New Roman"/>
          <w:bCs/>
          <w:sz w:val="24"/>
          <w:szCs w:val="24"/>
        </w:rPr>
        <w:t>sého</w:t>
      </w:r>
      <w:proofErr w:type="spellEnd"/>
      <w:r w:rsidR="00B963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381">
        <w:rPr>
          <w:rFonts w:ascii="Times New Roman" w:hAnsi="Times New Roman" w:cs="Times New Roman"/>
          <w:bCs/>
          <w:sz w:val="24"/>
          <w:szCs w:val="24"/>
        </w:rPr>
        <w:t>obrábacieho</w:t>
      </w:r>
      <w:proofErr w:type="spellEnd"/>
      <w:r w:rsidR="00B96381">
        <w:rPr>
          <w:rFonts w:ascii="Times New Roman" w:hAnsi="Times New Roman" w:cs="Times New Roman"/>
          <w:bCs/>
          <w:sz w:val="24"/>
          <w:szCs w:val="24"/>
        </w:rPr>
        <w:t xml:space="preserve"> centra - 1 ks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622F9">
        <w:rPr>
          <w:rFonts w:ascii="Times New Roman" w:hAnsi="Times New Roman" w:cs="Times New Roman"/>
          <w:bCs/>
          <w:sz w:val="24"/>
          <w:szCs w:val="24"/>
        </w:rPr>
        <w:t>Zariadenie</w:t>
      </w:r>
      <w:proofErr w:type="spellEnd"/>
      <w:r w:rsidR="00C622F9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účel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prieskumu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trhu definované:</w:t>
      </w:r>
    </w:p>
    <w:p w:rsidR="00024197" w:rsidRDefault="00024197" w:rsidP="00024197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65B6" w:rsidRDefault="00024197" w:rsidP="00B963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</w:t>
      </w:r>
      <w:r w:rsidR="00A80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hnická </w:t>
      </w:r>
      <w:proofErr w:type="spellStart"/>
      <w:r w:rsidR="00A805D7">
        <w:rPr>
          <w:rFonts w:ascii="Times New Roman" w:hAnsi="Times New Roman" w:cs="Times New Roman"/>
          <w:b/>
          <w:bCs/>
          <w:sz w:val="24"/>
          <w:szCs w:val="24"/>
          <w:u w:val="single"/>
        </w:rPr>
        <w:t>špecifikácia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E766F" w:rsidRPr="003E76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1651"/>
        <w:gridCol w:w="2739"/>
        <w:gridCol w:w="3469"/>
        <w:gridCol w:w="73"/>
        <w:gridCol w:w="2524"/>
      </w:tblGrid>
      <w:tr w:rsidR="005865B6" w:rsidTr="00C60E5B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65B6" w:rsidRPr="005865B6" w:rsidRDefault="00A805D7" w:rsidP="00A805D7">
            <w:pPr>
              <w:pStyle w:val="Odsekzoznamu"/>
              <w:tabs>
                <w:tab w:val="left" w:pos="49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CNC 5-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obrábacie centrum </w:t>
            </w:r>
            <w:r w:rsidR="005865B6" w:rsidRPr="00586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</w:t>
            </w:r>
          </w:p>
        </w:tc>
      </w:tr>
      <w:tr w:rsidR="00E02F00" w:rsidTr="00C60E5B">
        <w:trPr>
          <w:trHeight w:val="51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Hlavné technické údaje  CNC obrábacieho centra 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Vertikálne frézovacie centrum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Pr="00214699" w:rsidRDefault="0095434B" w:rsidP="005865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Riadiaci systém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Heidenhain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Kontinuálne obrábanie v 5.osiach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Priame odmeriavanie v 5.osiach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700 mm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600 mm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500 mm</w:t>
            </w:r>
          </w:p>
        </w:tc>
      </w:tr>
      <w:tr w:rsidR="00E54143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43" w:rsidRDefault="00E54143" w:rsidP="00E54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3" w:rsidRDefault="00E54143" w:rsidP="00E54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Sklopno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otočný stôl pre obrábanie v 4. a 5. osi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3" w:rsidRDefault="00A14FEE" w:rsidP="00E54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54143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Vyklopenie stola (rozsah)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+ 120/-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0°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Priemer stola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600 mm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Pretočenie obrobku na stole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800 mm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Otáčky stola – rotácia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Otáčky stola - naklápanie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9471FE" w:rsidP="009471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Priamy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pohon sklopno-otočného stola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9471F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 podopretia sklopno-otočného stola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E0296">
              <w:rPr>
                <w:rFonts w:ascii="Times New Roman" w:hAnsi="Times New Roman" w:cs="Times New Roman"/>
                <w:bCs/>
                <w:sz w:val="24"/>
                <w:szCs w:val="24"/>
              </w:rPr>
              <w:t>vojpodperný</w:t>
            </w:r>
            <w:proofErr w:type="spellEnd"/>
            <w:r w:rsidR="009E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Nosnosť stola pri 5-osom kontinuálnom obrábaní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450 kg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Otáčky vretena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upínacieho kužeľa vretena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HSK A63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Výkon vretena pri zaťažení  S6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 ED)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050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Točivý moment vretena pri zaťažení S6 (40% ED)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Nm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Rýchloposuvy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X,Y,Z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 m/min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Stredový výplach emulziou (tlak)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A82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bar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Vonkajšie i vnútorné chladenie vzduchom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Vodou chladený vretenový elektromotor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Kapacita zásobníka na nástroje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08C6" w:rsidP="005C0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A828C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ks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Filtrácia chladiacej emulzie s papierovým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rolkovým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filtrom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triesok , zdvíhací hrabľový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35596D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na splavovanie triesok v kabíne stroja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Hmotnosť stroja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</w:t>
            </w:r>
            <w:r w:rsidR="00A14F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346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ton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Transportná výška stroja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max. 2 900 mm</w:t>
            </w:r>
          </w:p>
        </w:tc>
      </w:tr>
      <w:tr w:rsidR="00E02F00" w:rsidTr="00C60E5B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E02F00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Voľne stojací stroj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0" w:rsidRDefault="00A14FEE" w:rsidP="00586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E02F00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Automatické dvere kabíny stroja pre robot /výmenník paliet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Kalibrácia presnosti stroja v 5.osiach prevádzaná užívateľom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Automatická tepelná kompenzácia vretena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tepelná kompenzácia stroja v 5. osiach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Zdvihnutie vretena v ose Z pri výpadku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el.energie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A14FEE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EE" w:rsidRDefault="00A14FEE" w:rsidP="00A1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543418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Hlásenia o aktuálnom stave stroja na mobil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543418" w:rsidTr="00C60E5B"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pri výpadku prúdu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8" w:rsidRDefault="00543418" w:rsidP="0054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3C01EE" w:rsidTr="00E91E32">
        <w:trPr>
          <w:trHeight w:val="567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EE" w:rsidRDefault="00C60E5B" w:rsidP="003C01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C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ríslušenstvo</w:t>
            </w:r>
          </w:p>
          <w:p w:rsidR="003C01EE" w:rsidRDefault="003C01EE" w:rsidP="003C01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EE" w:rsidRDefault="003C0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E" w:rsidRDefault="003C0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E" w:rsidRDefault="003C0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DF6B09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Obrobková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sonda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Bezkábelový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prenos dát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DF6B09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Automatické meranie obrobku sondou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9" w:rsidRDefault="00DF6B09" w:rsidP="00DF6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Nástrojová sonda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Bezkabelový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prenos dát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Automatické meranie nástrojov sondou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B87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Merací </w:t>
            </w:r>
            <w:r w:rsidR="00B87F6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oftvér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F6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eranie tvarových plôch priamo na stroji pomocou </w:t>
            </w:r>
            <w:proofErr w:type="spellStart"/>
            <w:r w:rsidRPr="00CF6C0D">
              <w:rPr>
                <w:rFonts w:ascii="Times New Roman" w:hAnsi="Times New Roman" w:cs="Times New Roman"/>
                <w:bCs/>
                <w:sz w:val="24"/>
                <w:szCs w:val="24"/>
              </w:rPr>
              <w:t>obrobkovej</w:t>
            </w:r>
            <w:proofErr w:type="spellEnd"/>
            <w:r w:rsidRPr="00CF6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sondy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Meranie a vyhodnocovanie štandardných 2.5D elementov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a 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meranie a vyhodnocovanie 3D kontúr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Vektorová 3D kalibrácia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CF6C0D">
              <w:rPr>
                <w:rFonts w:ascii="Times New Roman" w:hAnsi="Times New Roman" w:cs="Times New Roman"/>
                <w:bCs/>
                <w:sz w:val="24"/>
                <w:szCs w:val="24"/>
              </w:rPr>
              <w:t>rogramovanie sondy na PC pomocou jednoduchého klikania myšou na povrch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prenos programu do riadiaceho systému stroja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prenos nameraných výsledkov do meracieho programu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Meracie body je možné načítať zo systému CAD/CAM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vyrovnávania – korekcia chýb upnutia interferenciou medzi skutočným obrobkom a CAD modelom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Grafické zobrazenie nameraných hodnôt a 3D náhľad obrobku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4402C5" w:rsidP="00440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simulácie dráhy pohybu sondy pred meraním s cieľom vyhnúť sa kolízii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Meranie v pôvodnom upnutí ako obrábanie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DB5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Funkcia Best Fit umožňuje </w:t>
            </w:r>
            <w:r w:rsidR="00637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korigovať </w:t>
            </w:r>
            <w:r w:rsidR="00DB5B58">
              <w:rPr>
                <w:rFonts w:ascii="Times New Roman" w:hAnsi="Times New Roman" w:cs="Times New Roman"/>
                <w:bCs/>
                <w:sz w:val="24"/>
                <w:szCs w:val="24"/>
              </w:rPr>
              <w:t>namerané hodnoty</w:t>
            </w:r>
            <w:r w:rsidR="00637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obrábania v reálnom čase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Pr="0095434B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Výstupné dáta generované tabuľkovo v podobe meracieho protokolu vo formáte CSV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9C0F21" w:rsidTr="00E91E32">
        <w:trPr>
          <w:trHeight w:val="51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Ďalšie požiadavky k dodaniu a sfunkčneniu zariadenia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</w:tr>
      <w:tr w:rsidR="009C0F21" w:rsidTr="00E91E32"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1" w:rsidRDefault="009C0F21" w:rsidP="009C0F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umiestnenie a upevnenie zariadenia podľa pokynov zadávateľa. </w:t>
            </w:r>
          </w:p>
        </w:tc>
      </w:tr>
    </w:tbl>
    <w:p w:rsidR="00EA6D0F" w:rsidRDefault="00EA6D0F" w:rsidP="00A30F9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E43" w:rsidRDefault="00851E43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6CA" w:rsidRDefault="00B266CA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Predmet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zákazky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celom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rozsahu je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opísaný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tak, aby bol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presne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zro</w:t>
      </w:r>
      <w:r w:rsidR="009F3E86">
        <w:rPr>
          <w:rFonts w:ascii="Times New Roman" w:hAnsi="Times New Roman" w:cs="Times New Roman"/>
          <w:bCs/>
          <w:sz w:val="24"/>
          <w:szCs w:val="24"/>
        </w:rPr>
        <w:t>zumiteľne</w:t>
      </w:r>
      <w:proofErr w:type="spellEnd"/>
      <w:r w:rsidR="009F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3E86">
        <w:rPr>
          <w:rFonts w:ascii="Times New Roman" w:hAnsi="Times New Roman" w:cs="Times New Roman"/>
          <w:bCs/>
          <w:sz w:val="24"/>
          <w:szCs w:val="24"/>
        </w:rPr>
        <w:t>špecifikovaný</w:t>
      </w:r>
      <w:proofErr w:type="spellEnd"/>
      <w:r w:rsidR="009F3E86">
        <w:rPr>
          <w:rFonts w:ascii="Times New Roman" w:hAnsi="Times New Roman" w:cs="Times New Roman"/>
          <w:bCs/>
          <w:sz w:val="24"/>
          <w:szCs w:val="24"/>
        </w:rPr>
        <w:t xml:space="preserve">. Obstarávané </w:t>
      </w:r>
      <w:proofErr w:type="spellStart"/>
      <w:r w:rsidR="009F3E86">
        <w:rPr>
          <w:rFonts w:ascii="Times New Roman" w:hAnsi="Times New Roman" w:cs="Times New Roman"/>
          <w:bCs/>
          <w:sz w:val="24"/>
          <w:szCs w:val="24"/>
        </w:rPr>
        <w:t>zariadenie</w:t>
      </w:r>
      <w:proofErr w:type="spellEnd"/>
      <w:r w:rsidR="009F3E86">
        <w:rPr>
          <w:rFonts w:ascii="Times New Roman" w:hAnsi="Times New Roman" w:cs="Times New Roman"/>
          <w:bCs/>
          <w:sz w:val="24"/>
          <w:szCs w:val="24"/>
        </w:rPr>
        <w:t xml:space="preserve"> musí</w:t>
      </w:r>
      <w:r w:rsidRPr="00B266CA">
        <w:rPr>
          <w:rFonts w:ascii="Times New Roman" w:hAnsi="Times New Roman" w:cs="Times New Roman"/>
          <w:bCs/>
          <w:sz w:val="24"/>
          <w:szCs w:val="24"/>
        </w:rPr>
        <w:t xml:space="preserve"> byť nové (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použité, ani repasované).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niektorá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z technických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požiadaviek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odvolávala na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konkrétneho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výrobcu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výrobný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postup, </w:t>
      </w:r>
      <w:r>
        <w:rPr>
          <w:rFonts w:ascii="Times New Roman" w:hAnsi="Times New Roman" w:cs="Times New Roman"/>
          <w:bCs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označenie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patent, typ, krajinu,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oblasť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alebo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miesto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pôvodu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alebo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výroby, osoba povinná umožní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nahradiť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takýto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výrobok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ekvivalentným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výrobkom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podmienkou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ekvivalentný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výrobok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bude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spĺňať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úžitkové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prevádzkové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funkčné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charakteristiky,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ktoré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sú nevyhnutné na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zabezpečenie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účelu, na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ktoré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sú uvedené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technológie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zariadenia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určené a schválené.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Pri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výrobkoch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príslušenstvách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konkrétnej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značky,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uchádzač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môže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predložiť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aj ekvivalenty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inej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značky v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rovnakej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alebo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vyššej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6CA">
        <w:rPr>
          <w:rFonts w:ascii="Times New Roman" w:hAnsi="Times New Roman" w:cs="Times New Roman"/>
          <w:bCs/>
          <w:sz w:val="24"/>
          <w:szCs w:val="24"/>
        </w:rPr>
        <w:t>kvalite</w:t>
      </w:r>
      <w:proofErr w:type="spellEnd"/>
      <w:r w:rsidRPr="00B266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6CA" w:rsidRDefault="00B266CA" w:rsidP="00A30F9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6CA" w:rsidRDefault="00B266CA" w:rsidP="00A30F9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60E5B" w:rsidRDefault="00747E2A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Ľubovňa</w:t>
      </w:r>
      <w:proofErr w:type="spellEnd"/>
      <w:r w:rsidR="003E76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76316C">
        <w:rPr>
          <w:rFonts w:ascii="Times New Roman" w:hAnsi="Times New Roman" w:cs="Times New Roman"/>
          <w:bCs/>
          <w:sz w:val="24"/>
          <w:szCs w:val="24"/>
        </w:rPr>
        <w:t>22</w:t>
      </w:r>
      <w:r w:rsidR="00CD741E" w:rsidRPr="008E2165">
        <w:rPr>
          <w:rFonts w:ascii="Times New Roman" w:hAnsi="Times New Roman" w:cs="Times New Roman"/>
          <w:bCs/>
          <w:sz w:val="24"/>
          <w:szCs w:val="24"/>
        </w:rPr>
        <w:t>.</w:t>
      </w:r>
      <w:r w:rsidR="0076316C">
        <w:rPr>
          <w:rFonts w:ascii="Times New Roman" w:hAnsi="Times New Roman" w:cs="Times New Roman"/>
          <w:bCs/>
          <w:sz w:val="24"/>
          <w:szCs w:val="24"/>
        </w:rPr>
        <w:t>05</w:t>
      </w:r>
      <w:r w:rsidR="009F3E86">
        <w:rPr>
          <w:rFonts w:ascii="Times New Roman" w:hAnsi="Times New Roman" w:cs="Times New Roman"/>
          <w:bCs/>
          <w:sz w:val="24"/>
          <w:szCs w:val="24"/>
        </w:rPr>
        <w:t>.20</w:t>
      </w:r>
      <w:r w:rsidR="0076316C">
        <w:rPr>
          <w:rFonts w:ascii="Times New Roman" w:hAnsi="Times New Roman" w:cs="Times New Roman"/>
          <w:bCs/>
          <w:sz w:val="24"/>
          <w:szCs w:val="24"/>
        </w:rPr>
        <w:t>20</w:t>
      </w:r>
      <w:proofErr w:type="gramEnd"/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C60E5B" w:rsidP="00C60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Ing. Andrej Hlinka</w:t>
      </w:r>
    </w:p>
    <w:p w:rsidR="00C60E5B" w:rsidRDefault="00C60E5B" w:rsidP="00C60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konateľ spoločnosti</w:t>
      </w:r>
    </w:p>
    <w:p w:rsidR="00C60E5B" w:rsidRP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281C" w:rsidRDefault="00D34B40" w:rsidP="00DC281C">
      <w:pPr>
        <w:tabs>
          <w:tab w:val="left" w:pos="4140"/>
        </w:tabs>
        <w:spacing w:after="0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8E2165">
        <w:rPr>
          <w:rFonts w:ascii="Times New Roman" w:hAnsi="Times New Roman" w:cs="Times New Roman"/>
          <w:sz w:val="24"/>
          <w:szCs w:val="24"/>
        </w:rPr>
        <w:tab/>
      </w:r>
      <w:r w:rsidRPr="008E2165">
        <w:rPr>
          <w:rFonts w:ascii="Times New Roman" w:hAnsi="Times New Roman" w:cs="Times New Roman"/>
          <w:sz w:val="24"/>
          <w:szCs w:val="24"/>
        </w:rPr>
        <w:tab/>
      </w:r>
    </w:p>
    <w:p w:rsidR="00DC281C" w:rsidRDefault="00DC281C" w:rsidP="00DC281C">
      <w:pPr>
        <w:tabs>
          <w:tab w:val="left" w:pos="4140"/>
        </w:tabs>
        <w:spacing w:after="0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</w:p>
    <w:p w:rsidR="00DC281C" w:rsidRDefault="00DC281C" w:rsidP="00DC281C">
      <w:pPr>
        <w:tabs>
          <w:tab w:val="left" w:pos="4140"/>
        </w:tabs>
        <w:spacing w:after="0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</w:p>
    <w:p w:rsidR="00024197" w:rsidRDefault="00024197" w:rsidP="008E2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24197" w:rsidSect="00DC281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39" w:rsidRDefault="00527339" w:rsidP="00D34B40">
      <w:pPr>
        <w:spacing w:after="0" w:line="240" w:lineRule="auto"/>
      </w:pPr>
      <w:r>
        <w:separator/>
      </w:r>
    </w:p>
  </w:endnote>
  <w:endnote w:type="continuationSeparator" w:id="0">
    <w:p w:rsidR="00527339" w:rsidRDefault="00527339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19084"/>
      <w:docPartObj>
        <w:docPartGallery w:val="Page Numbers (Bottom of Page)"/>
        <w:docPartUnique/>
      </w:docPartObj>
    </w:sdtPr>
    <w:sdtEndPr/>
    <w:sdtContent>
      <w:p w:rsidR="00BC33E7" w:rsidRDefault="00BC33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6C" w:rsidRPr="0076316C">
          <w:rPr>
            <w:noProof/>
            <w:lang w:val="sk-SK"/>
          </w:rPr>
          <w:t>3</w:t>
        </w:r>
        <w:r>
          <w:fldChar w:fldCharType="end"/>
        </w:r>
      </w:p>
    </w:sdtContent>
  </w:sdt>
  <w:p w:rsidR="00BC33E7" w:rsidRDefault="00BC33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39" w:rsidRDefault="00527339" w:rsidP="00D34B40">
      <w:pPr>
        <w:spacing w:after="0" w:line="240" w:lineRule="auto"/>
      </w:pPr>
      <w:r>
        <w:separator/>
      </w:r>
    </w:p>
  </w:footnote>
  <w:footnote w:type="continuationSeparator" w:id="0">
    <w:p w:rsidR="00527339" w:rsidRDefault="00527339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40" w:rsidRPr="00393AD7" w:rsidRDefault="00D34B40" w:rsidP="00393AD7">
    <w:pPr>
      <w:pStyle w:val="Hlavika"/>
      <w:jc w:val="right"/>
      <w:rPr>
        <w:rFonts w:ascii="Times New Roman" w:hAnsi="Times New Roman" w:cs="Times New Roman"/>
      </w:rPr>
    </w:pPr>
    <w:proofErr w:type="spellStart"/>
    <w:r w:rsidRPr="00393AD7">
      <w:rPr>
        <w:rFonts w:ascii="Times New Roman" w:hAnsi="Times New Roman" w:cs="Times New Roman"/>
      </w:rPr>
      <w:t>Príloha</w:t>
    </w:r>
    <w:proofErr w:type="spellEnd"/>
    <w:r w:rsidRPr="00393AD7">
      <w:rPr>
        <w:rFonts w:ascii="Times New Roman" w:hAnsi="Times New Roman" w:cs="Times New Roman"/>
      </w:rPr>
      <w:t xml:space="preserve"> č. 1</w:t>
    </w:r>
    <w:r w:rsidR="00393AD7" w:rsidRPr="00393AD7">
      <w:rPr>
        <w:rFonts w:ascii="Times New Roman" w:hAnsi="Times New Roman" w:cs="Times New Roman"/>
      </w:rPr>
      <w:t xml:space="preserve"> Výzvy na </w:t>
    </w:r>
    <w:proofErr w:type="spellStart"/>
    <w:r w:rsidR="00393AD7" w:rsidRPr="00393AD7">
      <w:rPr>
        <w:rFonts w:ascii="Times New Roman" w:hAnsi="Times New Roman" w:cs="Times New Roman"/>
      </w:rPr>
      <w:t>preloženie</w:t>
    </w:r>
    <w:proofErr w:type="spellEnd"/>
    <w:r w:rsidR="00393AD7" w:rsidRPr="00393AD7">
      <w:rPr>
        <w:rFonts w:ascii="Times New Roman" w:hAnsi="Times New Roman" w:cs="Times New Roman"/>
      </w:rPr>
      <w:t xml:space="preserve"> </w:t>
    </w:r>
    <w:proofErr w:type="spellStart"/>
    <w:r w:rsidR="00393AD7" w:rsidRPr="00393AD7">
      <w:rPr>
        <w:rFonts w:ascii="Times New Roman" w:hAnsi="Times New Roman" w:cs="Times New Roman"/>
      </w:rPr>
      <w:t>ponúk</w:t>
    </w:r>
    <w:proofErr w:type="spellEnd"/>
    <w:r w:rsidR="00B265EC" w:rsidRPr="00393AD7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20D6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35"/>
    <w:rsid w:val="0000629C"/>
    <w:rsid w:val="00017219"/>
    <w:rsid w:val="00022400"/>
    <w:rsid w:val="00024197"/>
    <w:rsid w:val="00026D88"/>
    <w:rsid w:val="00027008"/>
    <w:rsid w:val="0003129B"/>
    <w:rsid w:val="000314D5"/>
    <w:rsid w:val="00032257"/>
    <w:rsid w:val="00050C37"/>
    <w:rsid w:val="00065259"/>
    <w:rsid w:val="00073161"/>
    <w:rsid w:val="000741D3"/>
    <w:rsid w:val="00082434"/>
    <w:rsid w:val="000A0023"/>
    <w:rsid w:val="000A5D97"/>
    <w:rsid w:val="000A6A53"/>
    <w:rsid w:val="000D4EA0"/>
    <w:rsid w:val="000D5083"/>
    <w:rsid w:val="000F4059"/>
    <w:rsid w:val="00127C61"/>
    <w:rsid w:val="00133A96"/>
    <w:rsid w:val="00144D23"/>
    <w:rsid w:val="00152458"/>
    <w:rsid w:val="0016057A"/>
    <w:rsid w:val="001649CF"/>
    <w:rsid w:val="0017791D"/>
    <w:rsid w:val="00190343"/>
    <w:rsid w:val="001A175B"/>
    <w:rsid w:val="001B5EF4"/>
    <w:rsid w:val="001B7AE4"/>
    <w:rsid w:val="001C2829"/>
    <w:rsid w:val="001C2F89"/>
    <w:rsid w:val="001F66D8"/>
    <w:rsid w:val="00214699"/>
    <w:rsid w:val="00214AED"/>
    <w:rsid w:val="002250EF"/>
    <w:rsid w:val="00232158"/>
    <w:rsid w:val="002530D9"/>
    <w:rsid w:val="00256622"/>
    <w:rsid w:val="0028045C"/>
    <w:rsid w:val="002809A7"/>
    <w:rsid w:val="00285E30"/>
    <w:rsid w:val="002B7289"/>
    <w:rsid w:val="002D39E4"/>
    <w:rsid w:val="002D5884"/>
    <w:rsid w:val="0031506B"/>
    <w:rsid w:val="00342755"/>
    <w:rsid w:val="0035596D"/>
    <w:rsid w:val="00361A2A"/>
    <w:rsid w:val="00374F3D"/>
    <w:rsid w:val="00387820"/>
    <w:rsid w:val="00393AD7"/>
    <w:rsid w:val="003B1227"/>
    <w:rsid w:val="003B6495"/>
    <w:rsid w:val="003C01EE"/>
    <w:rsid w:val="003C0D57"/>
    <w:rsid w:val="003C736E"/>
    <w:rsid w:val="003E760E"/>
    <w:rsid w:val="003E766F"/>
    <w:rsid w:val="004208B8"/>
    <w:rsid w:val="00422176"/>
    <w:rsid w:val="00435F7C"/>
    <w:rsid w:val="004376DE"/>
    <w:rsid w:val="004402C5"/>
    <w:rsid w:val="00466D99"/>
    <w:rsid w:val="004706E0"/>
    <w:rsid w:val="00471F5A"/>
    <w:rsid w:val="0048501E"/>
    <w:rsid w:val="004872DC"/>
    <w:rsid w:val="004A631D"/>
    <w:rsid w:val="004C0639"/>
    <w:rsid w:val="004D2788"/>
    <w:rsid w:val="004D5542"/>
    <w:rsid w:val="00500BB5"/>
    <w:rsid w:val="00501BE0"/>
    <w:rsid w:val="00523FF0"/>
    <w:rsid w:val="00527339"/>
    <w:rsid w:val="00543418"/>
    <w:rsid w:val="00543D82"/>
    <w:rsid w:val="005779FF"/>
    <w:rsid w:val="005865B6"/>
    <w:rsid w:val="005A2BDD"/>
    <w:rsid w:val="005B321B"/>
    <w:rsid w:val="005B6B76"/>
    <w:rsid w:val="005C0978"/>
    <w:rsid w:val="005C3277"/>
    <w:rsid w:val="005F37FF"/>
    <w:rsid w:val="005F4AFE"/>
    <w:rsid w:val="0060018E"/>
    <w:rsid w:val="00615B3C"/>
    <w:rsid w:val="00621787"/>
    <w:rsid w:val="006378E8"/>
    <w:rsid w:val="00640BD9"/>
    <w:rsid w:val="006556BB"/>
    <w:rsid w:val="006900E3"/>
    <w:rsid w:val="00696EBF"/>
    <w:rsid w:val="006B4CFC"/>
    <w:rsid w:val="006E6809"/>
    <w:rsid w:val="006E69B6"/>
    <w:rsid w:val="00703C3E"/>
    <w:rsid w:val="00724D35"/>
    <w:rsid w:val="00747E2A"/>
    <w:rsid w:val="00753386"/>
    <w:rsid w:val="0076316C"/>
    <w:rsid w:val="007708BE"/>
    <w:rsid w:val="007737EE"/>
    <w:rsid w:val="00775020"/>
    <w:rsid w:val="0079272A"/>
    <w:rsid w:val="007A15B8"/>
    <w:rsid w:val="007B7C45"/>
    <w:rsid w:val="007C597D"/>
    <w:rsid w:val="007D1C58"/>
    <w:rsid w:val="0081286B"/>
    <w:rsid w:val="00815678"/>
    <w:rsid w:val="008340B7"/>
    <w:rsid w:val="00841586"/>
    <w:rsid w:val="00851E43"/>
    <w:rsid w:val="00855D00"/>
    <w:rsid w:val="008603E7"/>
    <w:rsid w:val="00864788"/>
    <w:rsid w:val="00875CE5"/>
    <w:rsid w:val="00891E7B"/>
    <w:rsid w:val="008A0589"/>
    <w:rsid w:val="008A0F6C"/>
    <w:rsid w:val="008B4A6C"/>
    <w:rsid w:val="008B6F1C"/>
    <w:rsid w:val="008C4CA3"/>
    <w:rsid w:val="008D1103"/>
    <w:rsid w:val="008D11C9"/>
    <w:rsid w:val="008D3432"/>
    <w:rsid w:val="008E2165"/>
    <w:rsid w:val="008F200C"/>
    <w:rsid w:val="00903966"/>
    <w:rsid w:val="00913C9B"/>
    <w:rsid w:val="00913F71"/>
    <w:rsid w:val="0091476B"/>
    <w:rsid w:val="00940CB3"/>
    <w:rsid w:val="009471FE"/>
    <w:rsid w:val="00953E7A"/>
    <w:rsid w:val="0095434B"/>
    <w:rsid w:val="0095688E"/>
    <w:rsid w:val="009871A3"/>
    <w:rsid w:val="009A4B77"/>
    <w:rsid w:val="009A664B"/>
    <w:rsid w:val="009C0F21"/>
    <w:rsid w:val="009D387E"/>
    <w:rsid w:val="009D60B8"/>
    <w:rsid w:val="009D6EC0"/>
    <w:rsid w:val="009E0296"/>
    <w:rsid w:val="009E40BF"/>
    <w:rsid w:val="009E4D25"/>
    <w:rsid w:val="009F3E86"/>
    <w:rsid w:val="00A01C47"/>
    <w:rsid w:val="00A14FEE"/>
    <w:rsid w:val="00A1545A"/>
    <w:rsid w:val="00A2157D"/>
    <w:rsid w:val="00A23A97"/>
    <w:rsid w:val="00A24E66"/>
    <w:rsid w:val="00A30EDE"/>
    <w:rsid w:val="00A30F9A"/>
    <w:rsid w:val="00A46680"/>
    <w:rsid w:val="00A755E4"/>
    <w:rsid w:val="00A805D7"/>
    <w:rsid w:val="00A828C9"/>
    <w:rsid w:val="00A91414"/>
    <w:rsid w:val="00A91CAD"/>
    <w:rsid w:val="00A93C2A"/>
    <w:rsid w:val="00A945A2"/>
    <w:rsid w:val="00AA5756"/>
    <w:rsid w:val="00AB500E"/>
    <w:rsid w:val="00AB6179"/>
    <w:rsid w:val="00AC1C6B"/>
    <w:rsid w:val="00AE28FB"/>
    <w:rsid w:val="00AF2655"/>
    <w:rsid w:val="00B124E8"/>
    <w:rsid w:val="00B2086B"/>
    <w:rsid w:val="00B265EC"/>
    <w:rsid w:val="00B266CA"/>
    <w:rsid w:val="00B30FF0"/>
    <w:rsid w:val="00B350CD"/>
    <w:rsid w:val="00B4675E"/>
    <w:rsid w:val="00B5711F"/>
    <w:rsid w:val="00B60BDD"/>
    <w:rsid w:val="00B63D57"/>
    <w:rsid w:val="00B64AED"/>
    <w:rsid w:val="00B87F6A"/>
    <w:rsid w:val="00B93A37"/>
    <w:rsid w:val="00B96381"/>
    <w:rsid w:val="00BA2029"/>
    <w:rsid w:val="00BA4041"/>
    <w:rsid w:val="00BB12B8"/>
    <w:rsid w:val="00BC33E7"/>
    <w:rsid w:val="00BE2581"/>
    <w:rsid w:val="00BE51E7"/>
    <w:rsid w:val="00BF3C10"/>
    <w:rsid w:val="00C05683"/>
    <w:rsid w:val="00C05DAB"/>
    <w:rsid w:val="00C07ED7"/>
    <w:rsid w:val="00C264F8"/>
    <w:rsid w:val="00C56876"/>
    <w:rsid w:val="00C570BD"/>
    <w:rsid w:val="00C60E5B"/>
    <w:rsid w:val="00C622F9"/>
    <w:rsid w:val="00C6746E"/>
    <w:rsid w:val="00C80281"/>
    <w:rsid w:val="00C91981"/>
    <w:rsid w:val="00CA10DE"/>
    <w:rsid w:val="00CA3BDF"/>
    <w:rsid w:val="00CC3720"/>
    <w:rsid w:val="00CC76B5"/>
    <w:rsid w:val="00CD741E"/>
    <w:rsid w:val="00CE32B6"/>
    <w:rsid w:val="00CF6C0D"/>
    <w:rsid w:val="00D03928"/>
    <w:rsid w:val="00D041AD"/>
    <w:rsid w:val="00D101C5"/>
    <w:rsid w:val="00D12FC6"/>
    <w:rsid w:val="00D17A03"/>
    <w:rsid w:val="00D27F45"/>
    <w:rsid w:val="00D3467B"/>
    <w:rsid w:val="00D34B40"/>
    <w:rsid w:val="00D3781F"/>
    <w:rsid w:val="00D631FC"/>
    <w:rsid w:val="00D76F48"/>
    <w:rsid w:val="00D85E53"/>
    <w:rsid w:val="00D86BBB"/>
    <w:rsid w:val="00DB3B9F"/>
    <w:rsid w:val="00DB5B58"/>
    <w:rsid w:val="00DC281C"/>
    <w:rsid w:val="00DC289A"/>
    <w:rsid w:val="00DC329C"/>
    <w:rsid w:val="00DE17E8"/>
    <w:rsid w:val="00DE7B41"/>
    <w:rsid w:val="00DE7D3A"/>
    <w:rsid w:val="00DF6B09"/>
    <w:rsid w:val="00E00834"/>
    <w:rsid w:val="00E008C6"/>
    <w:rsid w:val="00E008D3"/>
    <w:rsid w:val="00E019C0"/>
    <w:rsid w:val="00E02F00"/>
    <w:rsid w:val="00E26FDC"/>
    <w:rsid w:val="00E34C70"/>
    <w:rsid w:val="00E43552"/>
    <w:rsid w:val="00E54143"/>
    <w:rsid w:val="00E83D63"/>
    <w:rsid w:val="00E91E32"/>
    <w:rsid w:val="00E96112"/>
    <w:rsid w:val="00E97ADB"/>
    <w:rsid w:val="00EA6D0F"/>
    <w:rsid w:val="00EB615C"/>
    <w:rsid w:val="00EB7C60"/>
    <w:rsid w:val="00EC7557"/>
    <w:rsid w:val="00ED6E64"/>
    <w:rsid w:val="00EE4D40"/>
    <w:rsid w:val="00F032CC"/>
    <w:rsid w:val="00F15881"/>
    <w:rsid w:val="00F20289"/>
    <w:rsid w:val="00F3207C"/>
    <w:rsid w:val="00F32224"/>
    <w:rsid w:val="00F32A30"/>
    <w:rsid w:val="00F34844"/>
    <w:rsid w:val="00F400F9"/>
    <w:rsid w:val="00F67DEF"/>
    <w:rsid w:val="00F709E1"/>
    <w:rsid w:val="00FA7418"/>
    <w:rsid w:val="00FB4EB8"/>
    <w:rsid w:val="00FB6CC3"/>
    <w:rsid w:val="00FC2B67"/>
    <w:rsid w:val="00FD0A2F"/>
    <w:rsid w:val="00FD11D8"/>
    <w:rsid w:val="00FD64FA"/>
    <w:rsid w:val="00FF543B"/>
    <w:rsid w:val="00FF74F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48F3BE-404E-47ED-A4EE-F341B94F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39"/>
    <w:rsid w:val="00152458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C8276B-E355-480B-968B-95415FFE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73</cp:revision>
  <dcterms:created xsi:type="dcterms:W3CDTF">2019-02-28T07:38:00Z</dcterms:created>
  <dcterms:modified xsi:type="dcterms:W3CDTF">2020-05-22T08:45:00Z</dcterms:modified>
</cp:coreProperties>
</file>